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750" w:lineRule="atLeast"/>
        <w:ind w:left="0" w:right="0" w:firstLine="0"/>
        <w:jc w:val="center"/>
        <w:rPr>
          <w:rFonts w:ascii="黑体" w:hAnsi="宋体" w:eastAsia="黑体" w:cs="黑体"/>
          <w:i w:val="0"/>
          <w:iCs w:val="0"/>
          <w:caps w:val="0"/>
          <w:color w:val="000000" w:themeColor="text1"/>
          <w:spacing w:val="0"/>
          <w:sz w:val="36"/>
          <w:szCs w:val="36"/>
          <w14:textFill>
            <w14:solidFill>
              <w14:schemeClr w14:val="tx1"/>
            </w14:solidFill>
          </w14:textFill>
        </w:rPr>
      </w:pPr>
      <w:r>
        <w:rPr>
          <w:rFonts w:ascii="黑体" w:hAnsi="宋体" w:eastAsia="黑体" w:cs="黑体"/>
          <w:i w:val="0"/>
          <w:iCs w:val="0"/>
          <w:caps w:val="0"/>
          <w:color w:val="000000" w:themeColor="text1"/>
          <w:spacing w:val="0"/>
          <w:sz w:val="36"/>
          <w:szCs w:val="36"/>
          <w:shd w:val="clear" w:fill="FFFFFF"/>
          <w14:textFill>
            <w14:solidFill>
              <w14:schemeClr w14:val="tx1"/>
            </w14:solidFill>
          </w14:textFill>
        </w:rPr>
        <w:t>交通运输行政执法服务指南</w:t>
      </w:r>
      <w:bookmarkStart w:id="0" w:name="_GoBack"/>
      <w:bookmarkEnd w:id="0"/>
    </w:p>
    <w:p>
      <w:pPr>
        <w:pStyle w:val="3"/>
        <w:keepNext w:val="0"/>
        <w:keepLines w:val="0"/>
        <w:widowControl/>
        <w:suppressLineNumbers w:val="0"/>
        <w:spacing w:before="0" w:beforeAutospacing="0" w:after="0" w:afterAutospacing="0" w:line="450" w:lineRule="atLeast"/>
        <w:ind w:left="0" w:right="0" w:firstLine="420"/>
        <w:rPr>
          <w:color w:val="333333"/>
          <w:sz w:val="21"/>
          <w:szCs w:val="21"/>
        </w:rPr>
      </w:pPr>
      <w:r>
        <w:rPr>
          <w:rFonts w:ascii="微软雅黑" w:hAnsi="微软雅黑" w:eastAsia="微软雅黑" w:cs="微软雅黑"/>
          <w:i w:val="0"/>
          <w:iCs w:val="0"/>
          <w:caps w:val="0"/>
          <w:color w:val="333333"/>
          <w:spacing w:val="0"/>
          <w:sz w:val="21"/>
          <w:szCs w:val="21"/>
          <w:shd w:val="clear" w:fill="FFFFFF"/>
        </w:rPr>
        <w:t> </w:t>
      </w:r>
    </w:p>
    <w:p>
      <w:pPr>
        <w:keepNext w:val="0"/>
        <w:keepLines w:val="0"/>
        <w:widowControl/>
        <w:suppressLineNumbers w:val="0"/>
        <w:spacing w:before="0" w:beforeAutospacing="0" w:after="0" w:afterAutospacing="0" w:line="450" w:lineRule="atLeast"/>
        <w:ind w:left="0" w:right="0" w:firstLine="420"/>
        <w:jc w:val="left"/>
        <w:rPr>
          <w:color w:val="333333"/>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 </w:t>
      </w:r>
    </w:p>
    <w:p>
      <w:pPr>
        <w:keepNext w:val="0"/>
        <w:keepLines w:val="0"/>
        <w:widowControl/>
        <w:suppressLineNumbers w:val="0"/>
        <w:spacing w:before="0" w:beforeAutospacing="0" w:after="0" w:afterAutospacing="0" w:line="450" w:lineRule="atLeast"/>
        <w:ind w:left="0" w:right="0" w:firstLine="643"/>
        <w:jc w:val="left"/>
        <w:rPr>
          <w:rFonts w:hint="default"/>
          <w:color w:val="333333"/>
          <w:sz w:val="21"/>
          <w:szCs w:val="21"/>
          <w:lang w:val="en-US"/>
        </w:rPr>
      </w:pPr>
      <w:r>
        <w:rPr>
          <w:rFonts w:ascii="仿宋" w:hAnsi="仿宋" w:eastAsia="仿宋" w:cs="仿宋"/>
          <w:b/>
          <w:bCs/>
          <w:i w:val="0"/>
          <w:iCs w:val="0"/>
          <w:caps w:val="0"/>
          <w:color w:val="333333"/>
          <w:spacing w:val="0"/>
          <w:kern w:val="0"/>
          <w:sz w:val="32"/>
          <w:szCs w:val="32"/>
          <w:shd w:val="clear" w:fill="FFFFFF"/>
          <w:lang w:val="en-US" w:eastAsia="zh-CN" w:bidi="ar"/>
        </w:rPr>
        <w:t>一、</w:t>
      </w:r>
      <w:r>
        <w:rPr>
          <w:rFonts w:hint="eastAsia" w:ascii="仿宋" w:hAnsi="仿宋" w:eastAsia="仿宋" w:cs="仿宋"/>
          <w:b/>
          <w:bCs/>
          <w:i w:val="0"/>
          <w:iCs w:val="0"/>
          <w:caps w:val="0"/>
          <w:color w:val="333333"/>
          <w:spacing w:val="0"/>
          <w:kern w:val="0"/>
          <w:sz w:val="32"/>
          <w:szCs w:val="32"/>
          <w:shd w:val="clear" w:fill="FFFFFF"/>
          <w:lang w:val="en-US" w:eastAsia="zh-CN" w:bidi="ar"/>
        </w:rPr>
        <w:t>执法主体</w:t>
      </w:r>
      <w:r>
        <w:rPr>
          <w:rFonts w:ascii="仿宋" w:hAnsi="仿宋" w:eastAsia="仿宋" w:cs="仿宋"/>
          <w:b/>
          <w:bCs/>
          <w:i w:val="0"/>
          <w:iCs w:val="0"/>
          <w:caps w:val="0"/>
          <w:color w:val="333333"/>
          <w:spacing w:val="0"/>
          <w:kern w:val="0"/>
          <w:sz w:val="32"/>
          <w:szCs w:val="32"/>
          <w:shd w:val="clear" w:fill="FFFFFF"/>
          <w:lang w:val="en-US" w:eastAsia="zh-CN" w:bidi="ar"/>
        </w:rPr>
        <w:t>：</w:t>
      </w:r>
      <w:r>
        <w:rPr>
          <w:rFonts w:hint="eastAsia" w:ascii="仿宋" w:hAnsi="仿宋" w:eastAsia="仿宋" w:cs="仿宋"/>
          <w:i w:val="0"/>
          <w:iCs w:val="0"/>
          <w:caps w:val="0"/>
          <w:color w:val="333333"/>
          <w:spacing w:val="0"/>
          <w:kern w:val="0"/>
          <w:sz w:val="32"/>
          <w:szCs w:val="32"/>
          <w:shd w:val="clear" w:fill="FFFFFF"/>
          <w:lang w:val="en-US" w:eastAsia="zh-CN" w:bidi="ar"/>
        </w:rPr>
        <w:t> 湘西州交通运输局</w:t>
      </w:r>
    </w:p>
    <w:p>
      <w:pPr>
        <w:keepNext w:val="0"/>
        <w:keepLines w:val="0"/>
        <w:widowControl/>
        <w:suppressLineNumbers w:val="0"/>
        <w:spacing w:before="0" w:beforeAutospacing="0" w:after="0" w:afterAutospacing="0" w:line="450" w:lineRule="atLeast"/>
        <w:ind w:left="0" w:right="0" w:firstLine="643"/>
        <w:jc w:val="left"/>
        <w:rPr>
          <w:color w:val="333333"/>
          <w:sz w:val="21"/>
          <w:szCs w:val="21"/>
        </w:rPr>
      </w:pPr>
      <w:r>
        <w:rPr>
          <w:rFonts w:hint="eastAsia" w:ascii="仿宋" w:hAnsi="仿宋" w:eastAsia="仿宋" w:cs="仿宋"/>
          <w:b/>
          <w:bCs/>
          <w:i w:val="0"/>
          <w:iCs w:val="0"/>
          <w:caps w:val="0"/>
          <w:color w:val="333333"/>
          <w:spacing w:val="0"/>
          <w:kern w:val="0"/>
          <w:sz w:val="32"/>
          <w:szCs w:val="32"/>
          <w:shd w:val="clear" w:fill="FFFFFF"/>
          <w:lang w:val="en-US" w:eastAsia="zh-CN" w:bidi="ar"/>
        </w:rPr>
        <w:t>二、实施对象：</w:t>
      </w:r>
      <w:r>
        <w:rPr>
          <w:rFonts w:hint="eastAsia" w:ascii="仿宋" w:hAnsi="仿宋" w:eastAsia="仿宋" w:cs="仿宋"/>
          <w:i w:val="0"/>
          <w:iCs w:val="0"/>
          <w:caps w:val="0"/>
          <w:color w:val="333333"/>
          <w:spacing w:val="0"/>
          <w:kern w:val="0"/>
          <w:sz w:val="32"/>
          <w:szCs w:val="32"/>
          <w:shd w:val="clear" w:fill="FFFFFF"/>
          <w:lang w:val="en-US" w:eastAsia="zh-CN" w:bidi="ar"/>
        </w:rPr>
        <w:t> 公民、法人、其他组织</w:t>
      </w:r>
    </w:p>
    <w:p>
      <w:pPr>
        <w:keepNext w:val="0"/>
        <w:keepLines w:val="0"/>
        <w:widowControl/>
        <w:suppressLineNumbers w:val="0"/>
        <w:spacing w:before="0" w:beforeAutospacing="0" w:after="0" w:afterAutospacing="0" w:line="450" w:lineRule="atLeast"/>
        <w:ind w:left="0" w:right="0" w:firstLine="643"/>
        <w:jc w:val="left"/>
        <w:rPr>
          <w:color w:val="333333"/>
          <w:sz w:val="21"/>
          <w:szCs w:val="21"/>
        </w:rPr>
      </w:pPr>
      <w:r>
        <w:rPr>
          <w:rFonts w:hint="eastAsia" w:ascii="仿宋" w:hAnsi="仿宋" w:eastAsia="仿宋" w:cs="仿宋"/>
          <w:b/>
          <w:bCs/>
          <w:i w:val="0"/>
          <w:iCs w:val="0"/>
          <w:caps w:val="0"/>
          <w:color w:val="333333"/>
          <w:spacing w:val="0"/>
          <w:kern w:val="0"/>
          <w:sz w:val="32"/>
          <w:szCs w:val="32"/>
          <w:shd w:val="clear" w:fill="FFFFFF"/>
          <w:lang w:val="en-US" w:eastAsia="zh-CN" w:bidi="ar"/>
        </w:rPr>
        <w:t>三、执法职权：</w:t>
      </w:r>
      <w:r>
        <w:rPr>
          <w:rFonts w:hint="eastAsia" w:ascii="仿宋" w:hAnsi="仿宋" w:eastAsia="仿宋" w:cs="仿宋"/>
          <w:i w:val="0"/>
          <w:iCs w:val="0"/>
          <w:caps w:val="0"/>
          <w:color w:val="333333"/>
          <w:spacing w:val="0"/>
          <w:kern w:val="0"/>
          <w:sz w:val="32"/>
          <w:szCs w:val="32"/>
          <w:shd w:val="clear" w:fill="FFFFFF"/>
          <w:lang w:val="en-US" w:eastAsia="zh-CN" w:bidi="ar"/>
        </w:rPr>
        <w:t> 根据交通运输行政管理法律、法规、规章，具体行使全州道路运政、水路运政、公路路政、航道行政、港口行政、交通工程质量监督等方面的行政执法职责；对公民、法人或者其他组织遵守交通运输行政管理法律、法规、规章的情况进行监督检查，依法纠正和查处有关违法违规行为，并对违反交通运输行政管理秩序的行为实施行政处罚。</w:t>
      </w:r>
    </w:p>
    <w:p>
      <w:pPr>
        <w:keepNext w:val="0"/>
        <w:keepLines w:val="0"/>
        <w:widowControl/>
        <w:suppressLineNumbers w:val="0"/>
        <w:spacing w:before="0" w:beforeAutospacing="0" w:after="0" w:afterAutospacing="0" w:line="450" w:lineRule="atLeast"/>
        <w:ind w:left="0" w:right="0" w:firstLine="643"/>
        <w:jc w:val="left"/>
        <w:rPr>
          <w:color w:val="333333"/>
          <w:sz w:val="21"/>
          <w:szCs w:val="21"/>
        </w:rPr>
      </w:pPr>
      <w:r>
        <w:rPr>
          <w:rFonts w:hint="eastAsia" w:ascii="仿宋" w:hAnsi="仿宋" w:eastAsia="仿宋" w:cs="仿宋"/>
          <w:b/>
          <w:bCs/>
          <w:i w:val="0"/>
          <w:iCs w:val="0"/>
          <w:caps w:val="0"/>
          <w:color w:val="333333"/>
          <w:spacing w:val="0"/>
          <w:kern w:val="0"/>
          <w:sz w:val="32"/>
          <w:szCs w:val="32"/>
          <w:shd w:val="clear" w:fill="FFFFFF"/>
          <w:lang w:val="en-US" w:eastAsia="zh-CN" w:bidi="ar"/>
        </w:rPr>
        <w:t>四、实施依据：</w:t>
      </w:r>
      <w:r>
        <w:rPr>
          <w:rFonts w:hint="eastAsia" w:ascii="仿宋" w:hAnsi="仿宋" w:eastAsia="仿宋" w:cs="仿宋"/>
          <w:i w:val="0"/>
          <w:iCs w:val="0"/>
          <w:caps w:val="0"/>
          <w:color w:val="333333"/>
          <w:spacing w:val="0"/>
          <w:kern w:val="0"/>
          <w:sz w:val="32"/>
          <w:szCs w:val="32"/>
          <w:shd w:val="clear" w:fill="FFFFFF"/>
          <w:lang w:val="en-US" w:eastAsia="zh-CN" w:bidi="ar"/>
        </w:rPr>
        <w:t>《中华人民共和国公路法》、《中华人民公路安全保护条例》、《中华人民共和国道路运输条例》等。</w:t>
      </w:r>
    </w:p>
    <w:p>
      <w:pPr>
        <w:keepNext w:val="0"/>
        <w:keepLines w:val="0"/>
        <w:widowControl/>
        <w:suppressLineNumbers w:val="0"/>
        <w:spacing w:before="0" w:beforeAutospacing="0" w:after="0" w:afterAutospacing="0" w:line="450" w:lineRule="atLeast"/>
        <w:ind w:left="0" w:right="0" w:firstLine="643"/>
        <w:jc w:val="left"/>
        <w:rPr>
          <w:color w:val="333333"/>
          <w:sz w:val="21"/>
          <w:szCs w:val="21"/>
        </w:rPr>
      </w:pPr>
      <w:r>
        <w:rPr>
          <w:rFonts w:hint="eastAsia" w:ascii="仿宋" w:hAnsi="仿宋" w:eastAsia="仿宋" w:cs="仿宋"/>
          <w:b/>
          <w:bCs/>
          <w:i w:val="0"/>
          <w:iCs w:val="0"/>
          <w:caps w:val="0"/>
          <w:color w:val="333333"/>
          <w:spacing w:val="0"/>
          <w:kern w:val="0"/>
          <w:sz w:val="32"/>
          <w:szCs w:val="32"/>
          <w:shd w:val="clear" w:fill="FFFFFF"/>
          <w:lang w:val="en-US" w:eastAsia="zh-CN" w:bidi="ar"/>
        </w:rPr>
        <w:t>五、处罚流程：</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发现、举报、主动交代违法行为，其他部门移送、上级交办。</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立案，填写《行政处罚立案审批表》报批。7日内立案或不予立案。</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调查取证， 两名以上执法人员进行调查、收集证据，应当向当事人或有关人员出示执法证件。（询问当事人、勘验检查、证据保存等）。</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案件调查终结，办案人员填写《案件调查报告》报法制机构审核提出初步处理意见。</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行政机关负责人审批（重大复杂案件由行政机关负责人集体讨论决定）</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拟处罚的，向当事人发《违法行为通知书》（违法行为轻微，依法可以不予行政处罚的，或违法事实不能成立的，不予行政处罚；违法行为已构成犯罪的,移送司法机关）。</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在作出行政处罚决定之前，告知当事人拟作出的行政处罚决定的事实、理由及依据，并告知当事人依法享有陈述和申辩的权利（当事人依法要求听证的，召开听证会）。</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充分听取当事人的意见，对当事人提出的事实、理由和证据，认真进行复核，当事人提出的事实、理由或者证据成立的，行政机关应当予以采纳。</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制作《行政处罚决定书》，并依法送达当事人，重大行政处罚案件报送相关机关备案。</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执行处罚决定（当事人履行或申请法院强制执行）。</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归档保存案卷材料。</w:t>
      </w:r>
    </w:p>
    <w:p>
      <w:pPr>
        <w:keepNext w:val="0"/>
        <w:keepLines w:val="0"/>
        <w:widowControl/>
        <w:suppressLineNumbers w:val="0"/>
        <w:spacing w:before="0" w:beforeAutospacing="0" w:after="0" w:afterAutospacing="0" w:line="450" w:lineRule="atLeast"/>
        <w:ind w:left="0" w:right="0" w:firstLine="643"/>
        <w:jc w:val="left"/>
        <w:rPr>
          <w:color w:val="333333"/>
          <w:sz w:val="21"/>
          <w:szCs w:val="21"/>
        </w:rPr>
      </w:pPr>
      <w:r>
        <w:rPr>
          <w:rFonts w:hint="eastAsia" w:ascii="仿宋" w:hAnsi="仿宋" w:eastAsia="仿宋" w:cs="仿宋"/>
          <w:b/>
          <w:bCs/>
          <w:i w:val="0"/>
          <w:iCs w:val="0"/>
          <w:caps w:val="0"/>
          <w:color w:val="333333"/>
          <w:spacing w:val="0"/>
          <w:kern w:val="0"/>
          <w:sz w:val="32"/>
          <w:szCs w:val="32"/>
          <w:shd w:val="clear" w:fill="FFFFFF"/>
          <w:lang w:val="en-US" w:eastAsia="zh-CN" w:bidi="ar"/>
        </w:rPr>
        <w:t>六、投诉渠道</w:t>
      </w:r>
    </w:p>
    <w:p>
      <w:pPr>
        <w:keepNext w:val="0"/>
        <w:keepLines w:val="0"/>
        <w:widowControl/>
        <w:suppressLineNumbers w:val="0"/>
        <w:spacing w:before="0" w:beforeAutospacing="0" w:after="0" w:afterAutospacing="0" w:line="450" w:lineRule="atLeast"/>
        <w:ind w:left="0" w:right="0" w:firstLine="640"/>
        <w:jc w:val="left"/>
        <w:rPr>
          <w:rFonts w:hint="default"/>
          <w:color w:val="333333"/>
          <w:sz w:val="21"/>
          <w:szCs w:val="21"/>
          <w:lang w:val="en-US"/>
        </w:rPr>
      </w:pPr>
      <w:r>
        <w:rPr>
          <w:rFonts w:hint="eastAsia" w:ascii="仿宋" w:hAnsi="仿宋" w:eastAsia="仿宋" w:cs="仿宋"/>
          <w:i w:val="0"/>
          <w:iCs w:val="0"/>
          <w:caps w:val="0"/>
          <w:color w:val="333333"/>
          <w:spacing w:val="0"/>
          <w:kern w:val="0"/>
          <w:sz w:val="32"/>
          <w:szCs w:val="32"/>
          <w:shd w:val="clear" w:fill="FFFFFF"/>
          <w:lang w:val="en-US" w:eastAsia="zh-CN" w:bidi="ar"/>
        </w:rPr>
        <w:t>交通运输服务监督举报电话：0743-8232196</w:t>
      </w:r>
    </w:p>
    <w:p>
      <w:pPr>
        <w:keepNext w:val="0"/>
        <w:keepLines w:val="0"/>
        <w:widowControl/>
        <w:suppressLineNumbers w:val="0"/>
        <w:spacing w:before="0" w:beforeAutospacing="0" w:after="0" w:afterAutospacing="0" w:line="450" w:lineRule="atLeast"/>
        <w:ind w:left="0" w:right="0" w:firstLine="643"/>
        <w:jc w:val="left"/>
        <w:rPr>
          <w:rFonts w:hint="default"/>
          <w:color w:val="333333"/>
          <w:sz w:val="21"/>
          <w:szCs w:val="21"/>
          <w:lang w:val="en-US"/>
        </w:rPr>
      </w:pPr>
      <w:r>
        <w:rPr>
          <w:rFonts w:hint="eastAsia" w:ascii="仿宋" w:hAnsi="仿宋" w:eastAsia="仿宋" w:cs="仿宋"/>
          <w:b/>
          <w:bCs/>
          <w:i w:val="0"/>
          <w:iCs w:val="0"/>
          <w:caps w:val="0"/>
          <w:color w:val="333333"/>
          <w:spacing w:val="0"/>
          <w:kern w:val="0"/>
          <w:sz w:val="32"/>
          <w:szCs w:val="32"/>
          <w:shd w:val="clear" w:fill="FFFFFF"/>
          <w:lang w:val="en-US" w:eastAsia="zh-CN" w:bidi="ar"/>
        </w:rPr>
        <w:t>七、当事人权利</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1.申请行政复议</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公民、法人或其他组织认为交通运输局具体行政行为侵犯自身合法权益，可在知道该具体行政行为之日起六十日内向人民政府或湘西自治州交通运输局提起行政复议。</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2.提出行政诉讼</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公民、法人或者其他组织不服复议决定的，可以在收到复议决定书之日起六个月内向市级人民法院提起诉讼。复议机关逾期不作决定的，申请人可以在复议期满之日起十五日内向市级人民法院提起诉讼。法律另有规定的除外。</w:t>
      </w:r>
    </w:p>
    <w:p>
      <w:pPr>
        <w:keepNext w:val="0"/>
        <w:keepLines w:val="0"/>
        <w:widowControl/>
        <w:suppressLineNumbers w:val="0"/>
        <w:spacing w:before="0" w:beforeAutospacing="0" w:after="0" w:afterAutospacing="0" w:line="450" w:lineRule="atLeast"/>
        <w:ind w:left="0" w:right="0" w:firstLine="640"/>
        <w:jc w:val="left"/>
        <w:rPr>
          <w:color w:val="333333"/>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公民、法人或者其他组织直接向市级人民法院提起诉讼的，应当自知道或者应当知道作出行政行为之日起六个月内提出。法律另有规定的除外。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03DBA"/>
    <w:rsid w:val="07EC0DBD"/>
    <w:rsid w:val="0E303DBA"/>
    <w:rsid w:val="305B5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2020-10-29T08:13:00Z</dcterms:created>
  <dc:creator>zzzzzz</dc:creator>
  <cp:lastModifiedBy>Administrator</cp:lastModifiedBy>
  <dcterms:modified xsi:type="dcterms:W3CDTF">2020-10-30T07:46:25Z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