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 w:afterAutospacing="0"/>
        <w:ind w:left="0" w:right="0" w:firstLine="0"/>
        <w:jc w:val="center"/>
        <w:rPr>
          <w:rFonts w:ascii="等线" w:hAnsi="等线" w:eastAsia="等线" w:cs="等线"/>
          <w:i w:val="0"/>
          <w:iCs w:val="0"/>
          <w:caps w:val="0"/>
          <w:color w:val="000000"/>
          <w:spacing w:val="0"/>
          <w:sz w:val="21"/>
          <w:szCs w:val="21"/>
        </w:rPr>
      </w:pPr>
      <w:bookmarkStart w:id="0" w:name="_GoBack"/>
      <w:r>
        <w:rPr>
          <w:rFonts w:hint="eastAsia" w:ascii="宋体" w:hAnsi="宋体" w:eastAsia="宋体" w:cs="宋体"/>
          <w:i w:val="0"/>
          <w:iCs w:val="0"/>
          <w:caps w:val="0"/>
          <w:color w:val="000000"/>
          <w:spacing w:val="0"/>
          <w:kern w:val="0"/>
          <w:sz w:val="48"/>
          <w:szCs w:val="48"/>
          <w:lang w:val="en-US" w:eastAsia="zh-CN" w:bidi="ar"/>
        </w:rPr>
        <w:t>湘西州交通运输综合行政执法局2024年部门预算公开</w:t>
      </w:r>
      <w:r>
        <w:rPr>
          <w:rFonts w:hint="eastAsia" w:ascii="宋体" w:hAnsi="宋体" w:eastAsia="宋体" w:cs="宋体"/>
          <w:i w:val="0"/>
          <w:iCs w:val="0"/>
          <w:caps w:val="0"/>
          <w:color w:val="000000"/>
          <w:spacing w:val="0"/>
          <w:kern w:val="0"/>
          <w:sz w:val="44"/>
          <w:szCs w:val="44"/>
          <w:lang w:val="en-US" w:eastAsia="zh-CN" w:bidi="ar"/>
        </w:rPr>
        <w:t> </w:t>
      </w:r>
    </w:p>
    <w:bookmarkEnd w:id="0"/>
    <w:p>
      <w:pPr>
        <w:keepNext w:val="0"/>
        <w:keepLines w:val="0"/>
        <w:widowControl/>
        <w:suppressLineNumbers w:val="0"/>
        <w:spacing w:before="0" w:beforeAutospacing="0" w:after="2" w:afterAutospacing="0"/>
        <w:ind w:left="0" w:right="0" w:firstLine="0"/>
        <w:jc w:val="center"/>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6"/>
          <w:szCs w:val="36"/>
          <w:lang w:val="en-US" w:eastAsia="zh-CN" w:bidi="ar"/>
        </w:rPr>
        <w:t>目</w:t>
      </w:r>
      <w:r>
        <w:rPr>
          <w:rFonts w:hint="eastAsia" w:ascii="等线" w:hAnsi="等线" w:eastAsia="等线" w:cs="等线"/>
          <w:i w:val="0"/>
          <w:iCs w:val="0"/>
          <w:caps w:val="0"/>
          <w:color w:val="000000"/>
          <w:spacing w:val="0"/>
          <w:kern w:val="0"/>
          <w:sz w:val="36"/>
          <w:szCs w:val="36"/>
          <w:lang w:val="en-US" w:eastAsia="zh-CN" w:bidi="ar"/>
        </w:rPr>
        <w:t> </w:t>
      </w:r>
      <w:r>
        <w:rPr>
          <w:rFonts w:hint="eastAsia" w:ascii="宋体" w:hAnsi="宋体" w:eastAsia="宋体" w:cs="宋体"/>
          <w:i w:val="0"/>
          <w:iCs w:val="0"/>
          <w:caps w:val="0"/>
          <w:color w:val="000000"/>
          <w:spacing w:val="0"/>
          <w:kern w:val="0"/>
          <w:sz w:val="36"/>
          <w:szCs w:val="36"/>
          <w:lang w:val="en-US" w:eastAsia="zh-CN" w:bidi="ar"/>
        </w:rPr>
        <w:t>录</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宋体" w:hAnsi="宋体" w:eastAsia="宋体" w:cs="宋体"/>
          <w:b/>
          <w:bCs/>
          <w:i w:val="0"/>
          <w:iCs w:val="0"/>
          <w:caps w:val="0"/>
          <w:color w:val="000000"/>
          <w:spacing w:val="0"/>
          <w:kern w:val="0"/>
          <w:sz w:val="32"/>
          <w:szCs w:val="32"/>
          <w:lang w:val="en-US" w:eastAsia="zh-CN" w:bidi="ar"/>
        </w:rPr>
      </w:pPr>
    </w:p>
    <w:p>
      <w:pPr>
        <w:keepNext w:val="0"/>
        <w:keepLines w:val="0"/>
        <w:widowControl/>
        <w:suppressLineNumbers w:val="0"/>
        <w:spacing w:before="0" w:beforeAutospacing="0" w:after="2" w:afterAutospacing="0"/>
        <w:ind w:left="0" w:right="0" w:firstLine="640"/>
        <w:jc w:val="both"/>
        <w:rPr>
          <w:rFonts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第一部分</w:t>
      </w:r>
      <w:r>
        <w:rPr>
          <w:rFonts w:hint="eastAsia" w:ascii="等线" w:hAnsi="等线" w:eastAsia="等线" w:cs="等线"/>
          <w:b/>
          <w:bCs/>
          <w:i w:val="0"/>
          <w:iCs w:val="0"/>
          <w:caps w:val="0"/>
          <w:color w:val="000000"/>
          <w:spacing w:val="0"/>
          <w:kern w:val="0"/>
          <w:sz w:val="32"/>
          <w:szCs w:val="32"/>
          <w:lang w:val="en-US" w:eastAsia="zh-CN" w:bidi="ar"/>
        </w:rPr>
        <w:t> </w:t>
      </w:r>
      <w:r>
        <w:rPr>
          <w:rFonts w:hint="eastAsia" w:ascii="宋体" w:hAnsi="宋体" w:eastAsia="宋体" w:cs="宋体"/>
          <w:b/>
          <w:bCs/>
          <w:i w:val="0"/>
          <w:iCs w:val="0"/>
          <w:caps w:val="0"/>
          <w:color w:val="000000"/>
          <w:spacing w:val="0"/>
          <w:kern w:val="0"/>
          <w:sz w:val="32"/>
          <w:szCs w:val="32"/>
          <w:lang w:val="en-US" w:eastAsia="zh-CN" w:bidi="ar"/>
        </w:rPr>
        <w:t>2024年部门预算说明</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一、部门基本概况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（一）职能职责</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（二）机构设置</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二、部门预算单位构成</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三、部门收支总体情况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四、一般公共预算拨款支出</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五、政府性基金预算支出</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六、其他重要事项的情况说明</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（一）机关运行经费</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（二）“三公”经费预算</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（三）一般性支出情况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（四）政府采购情况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（五）国有资产占用使用及新增资产配置情况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（六）预算绩效目标说明</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七、名词解释</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第二部分</w:t>
      </w:r>
      <w:r>
        <w:rPr>
          <w:rFonts w:hint="eastAsia" w:ascii="等线" w:hAnsi="等线" w:eastAsia="等线" w:cs="等线"/>
          <w:b/>
          <w:bCs/>
          <w:i w:val="0"/>
          <w:iCs w:val="0"/>
          <w:caps w:val="0"/>
          <w:color w:val="000000"/>
          <w:spacing w:val="0"/>
          <w:kern w:val="0"/>
          <w:sz w:val="32"/>
          <w:szCs w:val="32"/>
          <w:lang w:val="en-US" w:eastAsia="zh-CN" w:bidi="ar"/>
        </w:rPr>
        <w:t> </w:t>
      </w:r>
      <w:r>
        <w:rPr>
          <w:rFonts w:hint="eastAsia" w:ascii="宋体" w:hAnsi="宋体" w:eastAsia="宋体" w:cs="宋体"/>
          <w:b/>
          <w:bCs/>
          <w:i w:val="0"/>
          <w:iCs w:val="0"/>
          <w:caps w:val="0"/>
          <w:color w:val="000000"/>
          <w:spacing w:val="0"/>
          <w:kern w:val="0"/>
          <w:sz w:val="32"/>
          <w:szCs w:val="32"/>
          <w:lang w:val="en-US" w:eastAsia="zh-CN" w:bidi="ar"/>
        </w:rPr>
        <w:t>2024年部门预算公开表格</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1、收支总表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2、收入总表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3、支出总表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4、支出预算分类汇总表（按政府预算经济分类）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5、支出预算分类汇总表（按部门预算经济分类）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6、财政拨款收支总表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7、一般公共预算支出表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8、一般公共预算基本支出表</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9、一般公共预算基本支出表-人员经费（工资福利支出）（按政府预算经济分类）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10、一般公共预算基本支出表-人员经费（工资福利支出）（按部门预算经济分类）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11、一般公共预算基本支出表-人员经费（对个人和家庭的补助）（按政府预算经济分类）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12、一般公共预算基本支出表-人员经费（对个人和家庭的补助）（按部门预算经济分类）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13、一般公共预算基本支出表-公用经费（商品和服务支出）（按政府预算经济分类）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14、一般公共预算基本支出表-公用经费（商品和服务支出）（按部门预算经济分类）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15、一般公共预算“三公”经费支出表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16、政府性基金预算支出表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17、政府性基金预算支出分类汇总表（按政府预算经济分类）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18、政府性基金预算支出分类汇总表（按部门预算经济分类）</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19、国有资本经营预算支出表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20、财政专户管理资金预算支出表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21、专项资金预算汇总表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22、其他项目支出绩效目标表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23、部门整体支出绩效目标表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注：以上部门预算报表中，空表表示本部门无相关收支情况。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0"/>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6"/>
          <w:szCs w:val="36"/>
          <w:lang w:val="en-US" w:eastAsia="zh-CN" w:bidi="ar"/>
        </w:rPr>
        <w:t>第一部分</w:t>
      </w:r>
      <w:r>
        <w:rPr>
          <w:rFonts w:hint="eastAsia" w:ascii="等线" w:hAnsi="等线" w:eastAsia="等线" w:cs="等线"/>
          <w:i w:val="0"/>
          <w:iCs w:val="0"/>
          <w:caps w:val="0"/>
          <w:color w:val="000000"/>
          <w:spacing w:val="0"/>
          <w:kern w:val="0"/>
          <w:sz w:val="36"/>
          <w:szCs w:val="36"/>
          <w:lang w:val="en-US" w:eastAsia="zh-CN" w:bidi="ar"/>
        </w:rPr>
        <w:t> </w:t>
      </w:r>
      <w:r>
        <w:rPr>
          <w:rFonts w:hint="eastAsia" w:ascii="宋体" w:hAnsi="宋体" w:eastAsia="宋体" w:cs="宋体"/>
          <w:i w:val="0"/>
          <w:iCs w:val="0"/>
          <w:caps w:val="0"/>
          <w:color w:val="000000"/>
          <w:spacing w:val="0"/>
          <w:kern w:val="0"/>
          <w:sz w:val="36"/>
          <w:szCs w:val="36"/>
          <w:lang w:val="en-US" w:eastAsia="zh-CN" w:bidi="ar"/>
        </w:rPr>
        <w:t>2024年部门预算说明</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0"/>
        <w:jc w:val="center"/>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一、部门基本概况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（一）职能职责</w:t>
      </w:r>
      <w:r>
        <w:rPr>
          <w:rFonts w:hint="eastAsia" w:ascii="等线" w:hAnsi="等线" w:eastAsia="等线" w:cs="等线"/>
          <w:i w:val="0"/>
          <w:iCs w:val="0"/>
          <w:caps w:val="0"/>
          <w:color w:val="000000"/>
          <w:spacing w:val="0"/>
          <w:kern w:val="0"/>
          <w:sz w:val="21"/>
          <w:szCs w:val="21"/>
          <w:lang w:val="en-US" w:eastAsia="zh-CN" w:bidi="ar"/>
        </w:rPr>
        <w:t> </w:t>
      </w:r>
    </w:p>
    <w:p>
      <w:pPr>
        <w:pStyle w:val="2"/>
        <w:keepNext w:val="0"/>
        <w:keepLines w:val="0"/>
        <w:widowControl/>
        <w:suppressLineNumbers w:val="0"/>
        <w:spacing w:before="0" w:beforeAutospacing="0" w:after="2" w:afterAutospacing="0"/>
        <w:ind w:left="0" w:right="0" w:firstLine="641"/>
        <w:rPr>
          <w:rFonts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1、参与行政复议、行政诉讼等法律事务工作，承担交通运输行政执法信用体系建设工作，监督年度执法工作计划的实施，监督检查执法人员队容风纪、公正执法、规范执法、文明执法等情况，受理交通运输行政执法投诉举报,并督促办理。</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2、拟订全州普通公路路政和行业安全监管执法计划,并组织实施，组织调查、处理重大跨区域普通公路路政违法案件，组织跨部门、跨区域普通公路路政联合执法行动，指导、协调、监督、考核各县市国省干线公路和农村公路路政执法工作。</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3、制定并组织实施全州治超工作计划，指导、协调、监督、考核各县市治超工作，收集、 统计、汇总、分析治超工作信息，承担州治理车辆超限超载工作领导小组办公室日常工作。</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4、拟订全州道路运政年度执法计划,协调跨部门、跨区域道路运政联合执法行动，调查、处理重大跨区域道路运政违法案件，指导、协调、监督、考核各县市道路运输(包括道路运政城市客运)行政执法工作。</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5、拟订全州水上交通年度执法计划,并组织实施，织协调跨部门、跨区域水上交通联合执法行动，调查、处理重大跨区域水上交通违法案件，指导、协调、监督、考核各县市水上交通(包括水路运政、航道行政、港口行政、地方海事行政)行政执法工作。</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6、拟订全州交通综合执法年度计划并组织实施，组织协调跨部门、跨区域综合交通联合执法行动，组织调查、处理重大跨区域综合交通违法案件，指导、协调、监督、考核各县市综合行政执法工作。</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7、拟定年州交通运输安全监管执法计划,并组织实施，跟踪督办重大安全隐患的整改，按规定组织协调参与有关事故调查处理工作，牵头组织协调交通综合行政执法应急处置工作。</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8、负责本州辖区内常吉高速湘西段(G56杭瑞高速K1191+665M至K1237+870M)、吉怀高速湘西段(65包茂高速K2067+00至K2109+300)、凤大高速(G56杭瑞高速K1272+449M至K1304+79M)、本州辖区内吉茶高速(G65包茂高速K2001+340M至K2067+000)、张花高速湘西段(S10张花高速K33+850M至K147+600M、本州辖区内龙吉高速(S99龙吉高速K23+000M至K176+651M)、桑龙高速湘西段(G5515张南高速K136+000M至K159+100M)路政执法工作。</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9、州级以上(含州本级)审批实施的交通建设工程质量安全执法工作，拟订全州交通建设质量安全执法计划,并组织实施;负责组织调查、处理重大跨区域交通建设工程质量安全违法案件，跨部门、跨区堿交通建设质量安全联合执法行动，协调、监督、考核各县市交通建设质量安全行政执法工作。</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10、负责全州交通运输行政执法工作科技信息化建设。</w:t>
      </w:r>
      <w:r>
        <w:rPr>
          <w:rFonts w:hint="eastAsia" w:ascii="等线" w:hAnsi="等线" w:eastAsia="等线" w:cs="等线"/>
          <w:i w:val="0"/>
          <w:iCs w:val="0"/>
          <w:caps w:val="0"/>
          <w:color w:val="000000"/>
          <w:spacing w:val="0"/>
          <w:sz w:val="27"/>
          <w:szCs w:val="27"/>
        </w:rPr>
        <w:t> </w:t>
      </w:r>
    </w:p>
    <w:p>
      <w:pPr>
        <w:pStyle w:val="2"/>
        <w:keepNext w:val="0"/>
        <w:keepLines w:val="0"/>
        <w:widowControl/>
        <w:suppressLineNumbers w:val="0"/>
        <w:spacing w:before="0" w:beforeAutospacing="0" w:after="2" w:afterAutospacing="0"/>
        <w:ind w:left="0" w:right="0" w:firstLine="641"/>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11、职责范围内交通违法案件的登记、移送工作,负责行政执法文书制作、送达、整理归档等工作，对当事人陈述申辩核实以及说服、法规教育和学习培训工作，逾期未接受处罚当事人的扣押财务依法依规进行处理;负责申请强制执行。</w:t>
      </w:r>
      <w:r>
        <w:rPr>
          <w:rFonts w:hint="eastAsia" w:ascii="等线" w:hAnsi="等线" w:eastAsia="等线" w:cs="等线"/>
          <w:i w:val="0"/>
          <w:iCs w:val="0"/>
          <w:caps w:val="0"/>
          <w:color w:val="000000"/>
          <w:spacing w:val="0"/>
          <w:sz w:val="27"/>
          <w:szCs w:val="27"/>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（二）机构设置</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湘西州交通运输综合行政执法局内设科室16个包括：办公室、人事科、财务装备科、执法监督科、普通公路路政科、公路治超科、道路运政科、水上交通执法科、综合执法科 、科技信息科、安全应急科、高速公路路政执法一大队、速公路路政执法二大队、高速公路路政执法三大队、交通建设质量安全执法大队、交通行政处罚中心。本部门共有编制人数75人，实有人数58人。</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二、部门预算单位构成</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湘西州交通运输综合行政执法局部门只有本级，没有其他预算单位，因此本部门预算仅含本级预算。湘西州交通运输综合行政执法局为副处级行政执法机构单位。</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三、部门收支总体情况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（一）收入预算：</w:t>
      </w:r>
      <w:r>
        <w:rPr>
          <w:rFonts w:hint="eastAsia" w:ascii="宋体" w:hAnsi="宋体" w:eastAsia="宋体" w:cs="宋体"/>
          <w:i w:val="0"/>
          <w:iCs w:val="0"/>
          <w:caps w:val="0"/>
          <w:color w:val="000000"/>
          <w:spacing w:val="0"/>
          <w:kern w:val="0"/>
          <w:sz w:val="32"/>
          <w:szCs w:val="32"/>
          <w:lang w:val="en-US" w:eastAsia="zh-CN" w:bidi="ar"/>
        </w:rPr>
        <w:t>包括一般公共预算拨款、政府性基金收入、上级补助收入，以及经营收入、事业收入等单位资金。2024年本部门收入预算1,233.09万元，其中：一般公共预算拨款收入1,233.09万元。收入较去年增加221.96万元，主要是公用经费增加，人员增加，职工晋级晋档工资增加。</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27"/>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（二）支出预算：</w:t>
      </w:r>
      <w:r>
        <w:rPr>
          <w:rFonts w:hint="eastAsia" w:ascii="宋体" w:hAnsi="宋体" w:eastAsia="宋体" w:cs="宋体"/>
          <w:i w:val="0"/>
          <w:iCs w:val="0"/>
          <w:caps w:val="0"/>
          <w:color w:val="000000"/>
          <w:spacing w:val="0"/>
          <w:kern w:val="0"/>
          <w:sz w:val="32"/>
          <w:szCs w:val="32"/>
          <w:lang w:val="en-US" w:eastAsia="zh-CN" w:bidi="ar"/>
        </w:rPr>
        <w:t>2024年本部门支出预算1,233.09万元，其中，社会保障和就业支出100.74万元，卫生健康支出47.79万元，交通运输支出1,005.68万元，住房保障支出78.88万元。</w:t>
      </w:r>
      <w:r>
        <w:rPr>
          <w:rFonts w:hint="eastAsia" w:ascii="宋体" w:hAnsi="宋体" w:eastAsia="宋体" w:cs="宋体"/>
          <w:b/>
          <w:bCs/>
          <w:i w:val="0"/>
          <w:iCs w:val="0"/>
          <w:caps w:val="0"/>
          <w:color w:val="000000"/>
          <w:spacing w:val="0"/>
          <w:kern w:val="0"/>
          <w:sz w:val="32"/>
          <w:szCs w:val="32"/>
          <w:shd w:val="clear" w:fill="FFFFFF"/>
          <w:lang w:val="en-US" w:eastAsia="zh-CN" w:bidi="ar"/>
        </w:rPr>
        <w:t>支出较去年增加221.96万元，</w:t>
      </w:r>
      <w:r>
        <w:rPr>
          <w:rFonts w:hint="eastAsia" w:ascii="宋体" w:hAnsi="宋体" w:eastAsia="宋体" w:cs="宋体"/>
          <w:i w:val="0"/>
          <w:iCs w:val="0"/>
          <w:caps w:val="0"/>
          <w:color w:val="000000"/>
          <w:spacing w:val="0"/>
          <w:kern w:val="0"/>
          <w:sz w:val="32"/>
          <w:szCs w:val="32"/>
          <w:lang w:val="en-US" w:eastAsia="zh-CN" w:bidi="ar"/>
        </w:rPr>
        <w:t>主要是公用经费增加，人员增加，职工晋级晋档工资增加。</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四、一般公共预算拨款支出</w:t>
      </w:r>
      <w:r>
        <w:rPr>
          <w:rFonts w:hint="eastAsia" w:ascii="等线" w:hAnsi="等线" w:eastAsia="等线" w:cs="等线"/>
          <w:b/>
          <w:bCs/>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2024年本部门一般公共预算拨款支出预算1,233.09万元，</w:t>
      </w:r>
      <w:r>
        <w:rPr>
          <w:rFonts w:hint="eastAsia" w:ascii="宋体" w:hAnsi="宋体" w:eastAsia="宋体" w:cs="宋体"/>
          <w:i w:val="0"/>
          <w:iCs w:val="0"/>
          <w:caps w:val="0"/>
          <w:color w:val="000000"/>
          <w:spacing w:val="0"/>
          <w:kern w:val="0"/>
          <w:sz w:val="32"/>
          <w:szCs w:val="32"/>
          <w:shd w:val="clear" w:fill="FFFFFF"/>
          <w:lang w:val="en-US" w:eastAsia="zh-CN" w:bidi="ar"/>
        </w:rPr>
        <w:t>其中，社会保障和就业支出100.74万元，占8.17%；卫生健康支出47.79万元，占3.88%；交通运输支出1,005.68万元，占81.56%；住房保障支出78.88万元，占6.4%。具体安排情况如下：</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（一）基本支出：</w:t>
      </w:r>
      <w:r>
        <w:rPr>
          <w:rFonts w:hint="eastAsia" w:ascii="宋体" w:hAnsi="宋体" w:eastAsia="宋体" w:cs="宋体"/>
          <w:i w:val="0"/>
          <w:iCs w:val="0"/>
          <w:caps w:val="0"/>
          <w:color w:val="000000"/>
          <w:spacing w:val="0"/>
          <w:kern w:val="0"/>
          <w:sz w:val="32"/>
          <w:szCs w:val="32"/>
          <w:lang w:val="en-US" w:eastAsia="zh-CN" w:bidi="ar"/>
        </w:rPr>
        <w:t>2024年本部门基本支出预算数1,138.09万元，主要是为保障部门正常运转、完成日常工作任务而发生的各项支出，包括用于工资福利支出等人员经费以及办公费、印刷费、水电费、办公设备购置等公用经费。</w:t>
      </w:r>
      <w:r>
        <w:rPr>
          <w:rFonts w:ascii="仿宋_GB2312" w:hAnsi="等线" w:eastAsia="仿宋_GB2312" w:cs="仿宋_GB2312"/>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（二）项目支出：</w:t>
      </w:r>
      <w:r>
        <w:rPr>
          <w:rFonts w:hint="eastAsia" w:ascii="宋体" w:hAnsi="宋体" w:eastAsia="宋体" w:cs="宋体"/>
          <w:i w:val="0"/>
          <w:iCs w:val="0"/>
          <w:caps w:val="0"/>
          <w:color w:val="000000"/>
          <w:spacing w:val="0"/>
          <w:kern w:val="0"/>
          <w:sz w:val="32"/>
          <w:szCs w:val="32"/>
          <w:lang w:val="en-US" w:eastAsia="zh-CN" w:bidi="ar"/>
        </w:rPr>
        <w:t>2024年本部门项目支出预算95万元，主要是部门为完成特定行政工作任务或事业发展目标而发生的支出，包括有关事业发展专项、专项业务费、基本建设支出等，其中：其他公路水路运输支出95万元，主要用于交通综合行政执法、治理货运车辆违法超限运输等方面。</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五、政府性基金预算支出</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2024年本部门无政府性基金安排的支出。</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六、其他重要事项的情况说明</w:t>
      </w:r>
      <w:r>
        <w:rPr>
          <w:rFonts w:hint="eastAsia" w:ascii="等线" w:hAnsi="等线" w:eastAsia="等线" w:cs="等线"/>
          <w:b/>
          <w:bCs/>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（一）机关运行经费</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本单位非行政单位和参照公务员法管理事业单位未纳入机关运行经费统计范围，无机关运行经费。</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（二）“三公”经费预算</w:t>
      </w:r>
      <w:r>
        <w:rPr>
          <w:rFonts w:hint="eastAsia" w:ascii="等线" w:hAnsi="等线" w:eastAsia="等线" w:cs="等线"/>
          <w:b/>
          <w:bCs/>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2024年本部门“三公”经费预算数为41.4万元，其中，公务接待费5.4万元，公务用车购置及运行费36万元（其中，公务用车购置费0万元，公务用车运行费36万元），因公出国（境）费0万元</w:t>
      </w:r>
      <w:r>
        <w:rPr>
          <w:rFonts w:hint="default" w:ascii="仿宋_GB2312" w:hAnsi="等线" w:eastAsia="仿宋_GB2312" w:cs="仿宋_GB2312"/>
          <w:i w:val="0"/>
          <w:iCs w:val="0"/>
          <w:caps w:val="0"/>
          <w:color w:val="000000"/>
          <w:spacing w:val="0"/>
          <w:kern w:val="0"/>
          <w:sz w:val="32"/>
          <w:szCs w:val="32"/>
          <w:lang w:val="en-US" w:eastAsia="zh-CN" w:bidi="ar"/>
        </w:rPr>
        <w:t>。</w:t>
      </w:r>
      <w:r>
        <w:rPr>
          <w:rFonts w:hint="eastAsia" w:ascii="宋体" w:hAnsi="宋体" w:eastAsia="宋体" w:cs="宋体"/>
          <w:i w:val="0"/>
          <w:iCs w:val="0"/>
          <w:caps w:val="0"/>
          <w:color w:val="000000"/>
          <w:spacing w:val="0"/>
          <w:kern w:val="0"/>
          <w:sz w:val="32"/>
          <w:szCs w:val="32"/>
          <w:lang w:val="en-US" w:eastAsia="zh-CN" w:bidi="ar"/>
        </w:rPr>
        <w:t>2024年“三公”经费预算较2023年持平。</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（三）一般性支出情况</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2024年本部门会议费预算</w:t>
      </w:r>
      <w:r>
        <w:rPr>
          <w:rFonts w:hint="eastAsia" w:ascii="宋体" w:hAnsi="宋体" w:eastAsia="宋体" w:cs="宋体"/>
          <w:i w:val="0"/>
          <w:iCs w:val="0"/>
          <w:caps w:val="0"/>
          <w:color w:val="000000"/>
          <w:spacing w:val="0"/>
          <w:kern w:val="0"/>
          <w:sz w:val="32"/>
          <w:szCs w:val="32"/>
          <w:lang w:val="en-US" w:eastAsia="zh-CN" w:bidi="ar"/>
        </w:rPr>
        <w:t>5</w:t>
      </w:r>
      <w:r>
        <w:rPr>
          <w:rFonts w:hint="eastAsia" w:ascii="宋体" w:hAnsi="宋体" w:eastAsia="宋体" w:cs="宋体"/>
          <w:b/>
          <w:bCs/>
          <w:i w:val="0"/>
          <w:iCs w:val="0"/>
          <w:caps w:val="0"/>
          <w:color w:val="000000"/>
          <w:spacing w:val="0"/>
          <w:kern w:val="0"/>
          <w:sz w:val="32"/>
          <w:szCs w:val="32"/>
          <w:lang w:val="en-US" w:eastAsia="zh-CN" w:bidi="ar"/>
        </w:rPr>
        <w:t>万元，</w:t>
      </w:r>
      <w:r>
        <w:rPr>
          <w:rFonts w:hint="eastAsia" w:ascii="宋体" w:hAnsi="宋体" w:eastAsia="宋体" w:cs="宋体"/>
          <w:i w:val="0"/>
          <w:iCs w:val="0"/>
          <w:caps w:val="0"/>
          <w:color w:val="000000"/>
          <w:spacing w:val="0"/>
          <w:kern w:val="0"/>
          <w:sz w:val="32"/>
          <w:szCs w:val="32"/>
          <w:lang w:val="en-US" w:eastAsia="zh-CN" w:bidi="ar"/>
        </w:rPr>
        <w:t>拟召开全州路政执法暨治理车辆超限超载工作会、全州交通建设质量安全工作会、全州道路运政工作会、全州水运工作会。，人数240人，会议内容为全州路政、运政、治超、质量安全、治超执法2023年工作会</w:t>
      </w:r>
      <w:r>
        <w:rPr>
          <w:rFonts w:hint="eastAsia" w:ascii="宋体" w:hAnsi="宋体" w:eastAsia="宋体" w:cs="宋体"/>
          <w:b/>
          <w:bCs/>
          <w:i w:val="0"/>
          <w:iCs w:val="0"/>
          <w:caps w:val="0"/>
          <w:color w:val="000000"/>
          <w:spacing w:val="0"/>
          <w:kern w:val="0"/>
          <w:sz w:val="32"/>
          <w:szCs w:val="32"/>
          <w:lang w:val="en-US" w:eastAsia="zh-CN" w:bidi="ar"/>
        </w:rPr>
        <w:t>；培训费预算</w:t>
      </w:r>
      <w:r>
        <w:rPr>
          <w:rFonts w:hint="eastAsia" w:ascii="宋体" w:hAnsi="宋体" w:eastAsia="宋体" w:cs="宋体"/>
          <w:i w:val="0"/>
          <w:iCs w:val="0"/>
          <w:caps w:val="0"/>
          <w:color w:val="000000"/>
          <w:spacing w:val="0"/>
          <w:kern w:val="0"/>
          <w:sz w:val="32"/>
          <w:szCs w:val="32"/>
          <w:lang w:val="en-US" w:eastAsia="zh-CN" w:bidi="ar"/>
        </w:rPr>
        <w:t>8.96</w:t>
      </w:r>
      <w:r>
        <w:rPr>
          <w:rFonts w:hint="eastAsia" w:ascii="宋体" w:hAnsi="宋体" w:eastAsia="宋体" w:cs="宋体"/>
          <w:b/>
          <w:bCs/>
          <w:i w:val="0"/>
          <w:iCs w:val="0"/>
          <w:caps w:val="0"/>
          <w:color w:val="000000"/>
          <w:spacing w:val="0"/>
          <w:kern w:val="0"/>
          <w:sz w:val="32"/>
          <w:szCs w:val="32"/>
          <w:lang w:val="en-US" w:eastAsia="zh-CN" w:bidi="ar"/>
        </w:rPr>
        <w:t>万元，</w:t>
      </w:r>
      <w:r>
        <w:rPr>
          <w:rFonts w:hint="eastAsia" w:ascii="宋体" w:hAnsi="宋体" w:eastAsia="宋体" w:cs="宋体"/>
          <w:i w:val="0"/>
          <w:iCs w:val="0"/>
          <w:caps w:val="0"/>
          <w:color w:val="000000"/>
          <w:spacing w:val="0"/>
          <w:kern w:val="0"/>
          <w:sz w:val="32"/>
          <w:szCs w:val="32"/>
          <w:lang w:val="en-US" w:eastAsia="zh-CN" w:bidi="ar"/>
        </w:rPr>
        <w:t>拟开展全州交通执法人员教育培训，人数100人，培训内容为全州交通执法人员教育培训</w:t>
      </w:r>
      <w:r>
        <w:rPr>
          <w:rFonts w:hint="eastAsia" w:ascii="宋体" w:hAnsi="宋体" w:eastAsia="宋体" w:cs="宋体"/>
          <w:b/>
          <w:bCs/>
          <w:i w:val="0"/>
          <w:iCs w:val="0"/>
          <w:caps w:val="0"/>
          <w:color w:val="000000"/>
          <w:spacing w:val="0"/>
          <w:kern w:val="0"/>
          <w:sz w:val="32"/>
          <w:szCs w:val="32"/>
          <w:lang w:val="en-US" w:eastAsia="zh-CN" w:bidi="ar"/>
        </w:rPr>
        <w:t>；未拟举办节庆、晚会、论坛、赛事活动，经费预算0万元。</w:t>
      </w:r>
      <w:r>
        <w:rPr>
          <w:rFonts w:hint="eastAsia" w:ascii="等线" w:hAnsi="等线" w:eastAsia="等线" w:cs="等线"/>
          <w:b/>
          <w:bCs/>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（四）政府采购情况</w:t>
      </w:r>
      <w:r>
        <w:rPr>
          <w:rFonts w:hint="eastAsia" w:ascii="等线" w:hAnsi="等线" w:eastAsia="等线" w:cs="等线"/>
          <w:b/>
          <w:bCs/>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2024年本部门政府采购预算总额34.5万元，其中，货物类采购预算0万元；工程类采购预算0万元；服务类采购预算34.5万元。</w:t>
      </w:r>
      <w:r>
        <w:rPr>
          <w:rFonts w:hint="default" w:ascii="仿宋_GB2312" w:hAnsi="等线" w:eastAsia="仿宋_GB2312" w:cs="仿宋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（五）国有资产占用使用及新增资产配置情况</w:t>
      </w:r>
      <w:r>
        <w:rPr>
          <w:rFonts w:hint="eastAsia" w:ascii="等线" w:hAnsi="等线" w:eastAsia="等线" w:cs="等线"/>
          <w:b/>
          <w:bCs/>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截至2023年12月底，本部门共有公务用车9辆，其中，机要通信用车0辆，应急保障用车0辆，执法执勤用车8辆，特种专业技术用车0辆，其他按照规定配备的公务用车1辆；单位价值50万元以上通用设备0台，单位价值100万元以上专用设备0台。2024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r>
        <w:rPr>
          <w:rFonts w:hint="default" w:ascii="仿宋_GB2312" w:hAnsi="等线" w:eastAsia="仿宋_GB2312" w:cs="仿宋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2" w:afterAutospacing="0"/>
        <w:ind w:left="0" w:right="0" w:firstLine="643"/>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（六）预算绩效目标说明</w:t>
      </w:r>
      <w:r>
        <w:rPr>
          <w:rFonts w:hint="eastAsia" w:ascii="等线" w:hAnsi="等线" w:eastAsia="等线" w:cs="等线"/>
          <w:b/>
          <w:bCs/>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本部门所有支出实行绩效目标管理。纳入2024年部门整体支出绩效目标的金额为1,233.09万元，其中，基本支出1,138.09万元，项目支出95万元，具体绩效目标详见报表。</w:t>
      </w:r>
    </w:p>
    <w:p>
      <w:pPr>
        <w:keepNext w:val="0"/>
        <w:keepLines w:val="0"/>
        <w:widowControl/>
        <w:suppressLineNumbers w:val="0"/>
        <w:spacing w:before="0" w:beforeAutospacing="0" w:after="2" w:afterAutospacing="0"/>
        <w:ind w:left="0" w:right="0" w:firstLine="660"/>
        <w:jc w:val="both"/>
        <w:rPr>
          <w:rFonts w:hint="eastAsia" w:ascii="等线" w:hAnsi="等线" w:eastAsia="等线" w:cs="等线"/>
          <w:i w:val="0"/>
          <w:iCs w:val="0"/>
          <w:caps w:val="0"/>
          <w:color w:val="000000"/>
          <w:spacing w:val="0"/>
          <w:sz w:val="21"/>
          <w:szCs w:val="21"/>
        </w:rPr>
      </w:pPr>
      <w:r>
        <w:rPr>
          <w:rFonts w:hint="eastAsia" w:ascii="宋体" w:hAnsi="宋体" w:eastAsia="宋体" w:cs="宋体"/>
          <w:b/>
          <w:bCs/>
          <w:i w:val="0"/>
          <w:iCs w:val="0"/>
          <w:caps w:val="0"/>
          <w:color w:val="000000"/>
          <w:spacing w:val="0"/>
          <w:kern w:val="0"/>
          <w:sz w:val="32"/>
          <w:szCs w:val="32"/>
          <w:lang w:val="en-US" w:eastAsia="zh-CN" w:bidi="ar"/>
        </w:rPr>
        <w:t>七、名词解释</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1、基本支出：是指为保障机构正常运转、完成日常工作任务而发生的各项支出，包括用于基本工资、津贴补贴等人员经费以及办公费、印刷费、水电费、办公设备购置等日常公用经费。</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2、项目支出：是指在基本支出之外为完成特定行政工作任务和事业发展目标而发生的支出。</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3、机关运行经费：是指为保障行政单位（包括参照公务员法管理的事业单位）运行用于购买货物和服务的各项资金，包括办公及印刷费、邮电费、差旅费、会议费、福利费、日常维修费、专用资料及一般设备购置费、办公用房水电费、办公用房取暖费、办公用房物业管理费、公务用车运行维护费以及其他费用。</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lang w:val="en-US" w:eastAsia="zh-CN" w:bidi="ar"/>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643"/>
        <w:jc w:val="both"/>
        <w:rPr>
          <w:rFonts w:hint="eastAsia" w:ascii="等线" w:hAnsi="等线" w:eastAsia="等线" w:cs="等线"/>
          <w:i w:val="0"/>
          <w:iCs w:val="0"/>
          <w:caps w:val="0"/>
          <w:color w:val="000000"/>
          <w:spacing w:val="0"/>
          <w:sz w:val="21"/>
          <w:szCs w:val="21"/>
        </w:rPr>
      </w:pPr>
      <w:r>
        <w:rPr>
          <w:rFonts w:hint="eastAsia" w:ascii="等线" w:hAnsi="等线" w:eastAsia="等线" w:cs="等线"/>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2" w:afterAutospacing="0"/>
        <w:ind w:left="0" w:right="0" w:firstLine="720"/>
        <w:jc w:val="center"/>
        <w:rPr>
          <w:rFonts w:hint="eastAsia" w:ascii="等线" w:hAnsi="等线" w:eastAsia="等线" w:cs="等线"/>
          <w:i w:val="0"/>
          <w:iCs w:val="0"/>
          <w:caps w:val="0"/>
          <w:color w:val="000000"/>
          <w:spacing w:val="0"/>
          <w:sz w:val="21"/>
          <w:szCs w:val="21"/>
        </w:rPr>
      </w:pPr>
      <w:r>
        <w:rPr>
          <w:rFonts w:hint="eastAsia" w:ascii="宋体" w:hAnsi="宋体" w:eastAsia="宋体" w:cs="宋体"/>
          <w:i w:val="0"/>
          <w:iCs w:val="0"/>
          <w:caps w:val="0"/>
          <w:color w:val="000000"/>
          <w:spacing w:val="0"/>
          <w:kern w:val="0"/>
          <w:sz w:val="36"/>
          <w:szCs w:val="36"/>
          <w:lang w:val="en-US" w:eastAsia="zh-CN" w:bidi="ar"/>
        </w:rPr>
        <w:t>第二部分 2024年部门预算公开表格</w:t>
      </w:r>
      <w:r>
        <w:rPr>
          <w:rFonts w:hint="eastAsia" w:ascii="等线" w:hAnsi="等线" w:eastAsia="等线" w:cs="等线"/>
          <w:i w:val="0"/>
          <w:iCs w:val="0"/>
          <w:caps w:val="0"/>
          <w:color w:val="000000"/>
          <w:spacing w:val="0"/>
          <w:kern w:val="0"/>
          <w:sz w:val="24"/>
          <w:szCs w:val="24"/>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ZDIzZDVmZTkzZTMzNjIwNmY5MGU1NzY3OTU0ZTMifQ=="/>
  </w:docVars>
  <w:rsids>
    <w:rsidRoot w:val="395B188A"/>
    <w:rsid w:val="395B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2024-03-04T05:57:00Z</dcterms:created>
  <dc:creator>Administrator</dc:creator>
  <cp:lastModifiedBy>Administrator</cp:lastModifiedBy>
  <dcterms:modified xsi:type="dcterms:W3CDTF">2024-03-04T05:57:52Z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F2679A07D02F46F9A36F24E7868C59CF_11</vt:lpwstr>
  </property>
</Properties>
</file>