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dashed" w:color="DADADA" w:sz="6" w:space="0"/>
        </w:pBdr>
        <w:spacing w:before="0" w:beforeAutospacing="0" w:after="0" w:afterAutospacing="0" w:line="600" w:lineRule="atLeast"/>
        <w:ind w:left="0" w:right="0"/>
        <w:jc w:val="center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>州直交通运输部门201</w:t>
      </w:r>
      <w:r>
        <w:rPr>
          <w:rFonts w:hint="eastAsia"/>
          <w:b w:val="0"/>
          <w:color w:val="auto"/>
          <w:sz w:val="27"/>
          <w:szCs w:val="27"/>
          <w:lang w:val="en-US" w:eastAsia="zh-CN"/>
        </w:rPr>
        <w:t>8</w:t>
      </w:r>
      <w:r>
        <w:rPr>
          <w:b w:val="0"/>
          <w:color w:val="auto"/>
          <w:sz w:val="27"/>
          <w:szCs w:val="27"/>
        </w:rPr>
        <w:t xml:space="preserve">年部门预算公开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6F6"/>
        <w:spacing w:before="0" w:beforeAutospacing="0" w:after="0" w:afterAutospacing="0" w:line="30" w:lineRule="atLeast"/>
        <w:ind w:left="0" w:right="0"/>
        <w:jc w:val="left"/>
        <w:rPr>
          <w:rFonts w:ascii="Arial" w:hAnsi="Arial" w:cs="Arial"/>
          <w:sz w:val="24"/>
          <w:szCs w:val="24"/>
          <w:shd w:val="clear" w:color="auto" w:fill="auto"/>
        </w:rPr>
      </w:pPr>
      <w:r>
        <w:rPr>
          <w:rFonts w:ascii="黑体" w:hAnsi="仿宋" w:eastAsia="黑体" w:cs="黑体"/>
          <w:color w:val="333333"/>
          <w:sz w:val="32"/>
          <w:szCs w:val="32"/>
          <w:shd w:val="clear" w:color="auto" w:fill="auto"/>
        </w:rPr>
        <w:t> 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auto"/>
        </w:rPr>
        <w:t> </w:t>
      </w:r>
      <w:r>
        <w:rPr>
          <w:rFonts w:hint="default" w:ascii="Arial" w:hAnsi="Arial" w:eastAsia="宋体" w:cs="Arial"/>
          <w:kern w:val="0"/>
          <w:sz w:val="24"/>
          <w:szCs w:val="24"/>
          <w:shd w:val="clear" w:color="auto" w:fill="auto"/>
          <w:lang w:val="en-US" w:eastAsia="zh-CN" w:bidi="ar"/>
        </w:rPr>
        <w:t xml:space="preserve">一、单位概况  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sz w:val="24"/>
          <w:szCs w:val="24"/>
          <w:shd w:val="clear" w:color="auto" w:fill="auto"/>
        </w:rPr>
        <w:t>　　（一）主要职能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贯彻执行国家、省有关交通运输工作的方针、政策和法规；拟订全州公路、水路交通建设和行业管理规范性文件；负责交通行政运输执法检查和监督。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组织编制全州公路、水路交通行业发展规划，拟订有关政策和标准并监督实施。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承担全州公路、水路建设市场监管责任，维护交通建设市场的平等竞争秩序，负责工程的招投标管理、质量监督、安全生产监督管理和造价管理。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4、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承担全州道路、水路运输市场监管责任，指导全州城市客运、出租车行业管理工作。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5、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指导全州公路、水路行业安全管理和应急管理工作。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6、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组织协调全州地方交通战备工作，承担州国防动员有关工作。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7、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负责提出全州公路、水路固定资产投资规模和方向、州级财政性资金安排建议意见。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8、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指导全州公路路政管理，依法维护路产路权，保障公路畅通。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 xml:space="preserve"> 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指导全州公路、水路行业有关体制改革，负责交通系统各单位国有资产的管理和保值增值的监督。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10、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负责交通从业人员培训的行业管理，组织各单位职工培训、人才交流和劳动工资工作。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11、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制定全州交通运输行业科技政策、规划和规范并监督实施，组织重大科技开发，推动行业技术进步，指导全州公路、水路行业环境保护和节能减排工作。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12、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承办州委、州人民政府交办的其它事项等。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sz w:val="30"/>
          <w:szCs w:val="30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ascii="Arial" w:hAnsi="Arial" w:cs="Arial"/>
          <w:sz w:val="30"/>
          <w:szCs w:val="30"/>
          <w:shd w:val="clear" w:color="auto" w:fill="auto"/>
        </w:rPr>
        <w:t>（二）部门</w:t>
      </w:r>
      <w:r>
        <w:rPr>
          <w:rFonts w:hint="eastAsia" w:ascii="Arial" w:hAnsi="Arial" w:cs="Arial"/>
          <w:sz w:val="30"/>
          <w:szCs w:val="30"/>
          <w:shd w:val="clear" w:color="auto" w:fill="auto"/>
          <w:lang w:eastAsia="zh-CN"/>
        </w:rPr>
        <w:t>预</w:t>
      </w:r>
      <w:r>
        <w:rPr>
          <w:rFonts w:ascii="Arial" w:hAnsi="Arial" w:cs="Arial"/>
          <w:sz w:val="30"/>
          <w:szCs w:val="30"/>
          <w:shd w:val="clear" w:color="auto" w:fill="auto"/>
        </w:rPr>
        <w:t>算单位构成</w:t>
      </w:r>
      <w:r>
        <w:rPr>
          <w:rFonts w:hint="default" w:ascii="Arial" w:hAnsi="Arial" w:cs="Arial"/>
          <w:sz w:val="30"/>
          <w:szCs w:val="30"/>
          <w:shd w:val="clear" w:color="auto" w:fill="auto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300" w:firstLineChars="100"/>
        <w:jc w:val="both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州交通运输局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为独立核算的行政单位，属一级预算单位。根据编委核定，所属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行政单位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1个、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个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、参公单位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个，分别为州公路管理局（行政）、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州地方海事局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（参公）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、州交通建设质量安全监督管理处、州道路运输管理处、州交通规划办公室、州交通建设工程造价管理站、州交通建设中心、州交通科学技术研究院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。州公路局、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州交通科学技术研究院单独公开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，其余单位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全部纳入</w:t>
      </w:r>
      <w:r>
        <w:rPr>
          <w:rFonts w:hint="default" w:ascii="仿宋_GB2312" w:hAnsi="仿宋_GB2312" w:eastAsia="仿宋_GB2312" w:cs="仿宋_GB2312"/>
          <w:color w:val="333333"/>
          <w:sz w:val="30"/>
          <w:szCs w:val="30"/>
          <w:lang w:val="en-US"/>
        </w:rPr>
        <w:t>201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年部门预算编制范围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经州编委核定的编制人数为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人。实际人数28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人，为其中行政编制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人、参照公务员管理7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人、事业人员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人、工勤人员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人、离休人员2人、退休人员8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人。小车编制数1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辆，实有车辆1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辆。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三、部门收支总体情况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8年部门预算包括本级预算和所属单位预算在内的汇总情况（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州公路局、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州交通科学技术研究院单独公开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）。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8年没有政府性基金预算拨款、国有资本经营预算收入和纳入专户管理的非税收入拨款收入，也没有使用政府性基金预算拨款、国有资本经营预算收入和纳入专户管理的非税收入拨款安排的支出，所以公开的附件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14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表“政府性基金预算支出情况表”和附件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15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表“纳入专户管理的非税收入拨款预算分类汇总表”均为空。收入包括经费拨款，也包括行政事业性收费收入和国有资源有偿使用收入；支出包括本局机关及所属二级单位基本运行的经费。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（一）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收入预算，</w:t>
      </w:r>
      <w:r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8年年初预算数3103.03万元，其中：经费拨款3019.85万元，纳入一般公共预算管理的非税收入拨款83.18万元。</w:t>
      </w:r>
      <w:r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8年收入预算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较上年预算总收入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3118.57万元减少15.54万元，减少0.5%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，主要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原因一是政策性工资调标，人员经费相应增加，二是本州财政拨款政策性调整，专项经费统一调减40%。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（二）支出预算，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8年年初预算数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3103.03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万元，其中，交通运输支出2808.23万元，住房保障179.98万元，社会保障和就业支出114.82万元。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较上年预算支出合计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3118.57减少15.54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减少0.5%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。其中工资福利支出较上年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1518.65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万元增加383.64万元；项目支出较上年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749.40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万元减少249.76万元，对个人和家庭的补助支出较上年398.43万元减少314.12万元，主要原因是2018年以后，离退人员工资全部由财政社保科统一发放，原由单位发放部分取消了。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根据预算收支平衡原则，总拨款增减主要原因同上。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四、一般公共预算拨款支出预算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8年一般公共预算拨款收入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3103.03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（一）基本支出：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8年年初预算数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为2603.39万元，是指为保障单位机构正常运转、完成日常工作任务而发生的各项支出，包括用于基本工资、津贴补贴等人员经费以及办公费、印刷费、水电费、办公设备购置等日常公用经费。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（二）项目支出：</w:t>
      </w:r>
      <w:r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8年年初预算数为499.64万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元，是指单位为完成特定行政工作任务或事业发展目标而发生的支出，其中：公路运输管理和安全专项支出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128.28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万元，主要用于行业监管支出；航道维护和管理专项支出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37.02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万元，主要用于县市河道、码头、航运水上安全维护等管理支出；交通重点项目前期专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项93万元，主要用于交通规划项目的前期工作支出；交通规划编制、咨询、研究专项31.56万元；交通项目招投标限价审查等23.10万元；春运工作经费50万元；运行维护专项136.68万元，主要用于交通信息平台建设、维护以及机关后勤服务、房屋设备维修维护等方面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五、其他重要事项的情况说明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8年州本级以及</w:t>
      </w:r>
      <w:r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个二级单位的机关运行经费当年一般公共预算拨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款616.79万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元，比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7年预算452.09万元增加164.7万元，增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加36.43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%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。主要原因一是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政策性调整，项目经费统一调减40%，相应调增基本支出。二是正常工资调标，人员经费相应增加。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三公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经费预算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年三公经费部门预算数合计为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万元。其中公务接待费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万元、公务用车运行费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万元。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 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年三公经费部门预算数合计为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114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万元。其中公务接待费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，较上年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万元，减少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22.5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%，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公务用车运行费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万元，较上年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24.7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下降了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32.2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三公经费总体较上年减少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42.7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万元，公务接待费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较上年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18万元，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主要原因是上年全力打造智慧交通，建立交通信息化平台，相应调增了预算；车辆使用费较上年减少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24.7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万元，主要是公车改革，和认真贯彻中央八项规定和《党政机关厉行节约反对浪费重要条例》等精神，加大了对公车的使用管理，相应调减了预算。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、政府采购情况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201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8年政府采购预算总额107.44万元，其中，政府采购货物预算107.44万元，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政府采购服务预算0万元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"/>
        </w:rPr>
        <w:t>六、名词解释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6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三公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”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经费：纳入州财政预算管理的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三公</w:t>
      </w: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“</w:t>
      </w: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第二部分：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left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</w:pPr>
      <w:r>
        <w:rPr>
          <w:rFonts w:hint="default" w:ascii="仿宋_GB2312" w:hAnsi="仿宋_GB2312" w:eastAsia="仿宋_GB2312" w:cs="仿宋_GB2312"/>
          <w:color w:val="333333"/>
          <w:kern w:val="0"/>
          <w:sz w:val="30"/>
          <w:szCs w:val="30"/>
          <w:lang w:val="en-US" w:eastAsia="zh-CN" w:bidi="ar"/>
        </w:rPr>
        <w:t> 部门预算需公开的表格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"http://jtj.xxz.gov.cn/gggs/201702/./W020170208561975182185.xls"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附件1-部门收支总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体情况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"http://jtj.xxz.gov.cn/gggs/201702/./W020170208561975214264.xls"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附件2-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部门收入总体情况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"http://jtj.xxz.gov.cn/gggs/201702/./W020170208561975239293.xls"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附件3-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部门支出总体情况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"http://jtj.xxz.gov.cn/gggs/201702/./W020170208561975268504.xls"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附件4-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部门支出总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"http://jtj.xxz.gov.cn/gggs/201702/./W020170208561975282796.xls"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附件5-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州级基本支出预算明细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-工资福利支出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"http://jtj.xxz.gov.cn/gggs/201702/./W020170208561975315786.xls"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附件6-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州级基本支出预算明细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-商品和服务支出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"http://jtj.xxz.gov.cn/gggs/201702/./W020170208561975330076.xls"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附件7-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州级基本支出预算明细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表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对个人和家庭的补助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   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instrText xml:space="preserve"> HYPERLINK "http://jtj.xxz.gov.cn/gggs/201702/./W020170208561975362797.xls" </w:instrTex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t>附件8-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财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政拨款收支总表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9-一般公共预算支出情况表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附件10-一般公共预算基本支出情况表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附件11-一般公共预算州级基本支出预算明细表-工资福利支出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附件12-一般公共预算州级基本支出预算明细表-</w:t>
      </w: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商品和服务支出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</w:pPr>
      <w:r>
        <w:rPr>
          <w:rStyle w:val="12"/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附件13-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一般公共预算州级基本支出预算明细表-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对个人和家庭的补助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14-政府性基金预算支出情况表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附件15-纳入专户管理的非税收入拨款州级支出预算分类汇总表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附件16-一般公共预算拨款-经费拨款州级支出预算表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附件17-州级专项资金预算汇总表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600" w:firstLineChars="200"/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84848"/>
          <w:sz w:val="30"/>
          <w:szCs w:val="30"/>
          <w:u w:val="none"/>
          <w:lang w:val="en-US" w:eastAsia="zh-CN"/>
        </w:rPr>
        <w:t>附件18-一般公共预算“三公”经费预算表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600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>附件19：州本级专项绩效目标申报表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  <w:t xml:space="preserve">    附件20：州本级专项整体绩效目标申报表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rFonts w:hint="eastAsia" w:ascii="仿宋_GB2312" w:hAnsi="仿宋_GB2312" w:eastAsia="仿宋_GB2312" w:cs="仿宋_GB2312"/>
          <w:color w:val="333333"/>
          <w:sz w:val="30"/>
          <w:szCs w:val="30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/>
        <w:rPr>
          <w:color w:val="333333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>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1E1A"/>
    <w:multiLevelType w:val="singleLevel"/>
    <w:tmpl w:val="5A321E1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1681"/>
    <w:rsid w:val="02B14E33"/>
    <w:rsid w:val="037820E3"/>
    <w:rsid w:val="044B76BB"/>
    <w:rsid w:val="051B065D"/>
    <w:rsid w:val="055C1CB5"/>
    <w:rsid w:val="08FC2ACE"/>
    <w:rsid w:val="0AA05C10"/>
    <w:rsid w:val="0B2A140E"/>
    <w:rsid w:val="0D342F58"/>
    <w:rsid w:val="0E512C18"/>
    <w:rsid w:val="0E9F5E1B"/>
    <w:rsid w:val="0F6F4288"/>
    <w:rsid w:val="120F4F11"/>
    <w:rsid w:val="12B4051F"/>
    <w:rsid w:val="14FC1681"/>
    <w:rsid w:val="1715667C"/>
    <w:rsid w:val="1D2B729E"/>
    <w:rsid w:val="1F2848DE"/>
    <w:rsid w:val="1F314810"/>
    <w:rsid w:val="203F2CE9"/>
    <w:rsid w:val="207A1564"/>
    <w:rsid w:val="225D037A"/>
    <w:rsid w:val="2306290C"/>
    <w:rsid w:val="236B1CAC"/>
    <w:rsid w:val="281A2F4B"/>
    <w:rsid w:val="28731519"/>
    <w:rsid w:val="29A144AD"/>
    <w:rsid w:val="2BD366C3"/>
    <w:rsid w:val="2BF4395D"/>
    <w:rsid w:val="2DB61306"/>
    <w:rsid w:val="2DC6766A"/>
    <w:rsid w:val="331B652D"/>
    <w:rsid w:val="33B64D7B"/>
    <w:rsid w:val="344965B4"/>
    <w:rsid w:val="35A303D8"/>
    <w:rsid w:val="35C00D71"/>
    <w:rsid w:val="36BB53ED"/>
    <w:rsid w:val="376F0F24"/>
    <w:rsid w:val="388B6616"/>
    <w:rsid w:val="3D1747B3"/>
    <w:rsid w:val="3F144417"/>
    <w:rsid w:val="3FAE4314"/>
    <w:rsid w:val="451A08AF"/>
    <w:rsid w:val="4C8A61AD"/>
    <w:rsid w:val="4D282333"/>
    <w:rsid w:val="4E1742AD"/>
    <w:rsid w:val="4EAF4763"/>
    <w:rsid w:val="50082469"/>
    <w:rsid w:val="538F6869"/>
    <w:rsid w:val="54ED11F8"/>
    <w:rsid w:val="55E654AC"/>
    <w:rsid w:val="590C5468"/>
    <w:rsid w:val="5EEE5E94"/>
    <w:rsid w:val="5FFA64B1"/>
    <w:rsid w:val="62CB4FDC"/>
    <w:rsid w:val="63361B36"/>
    <w:rsid w:val="635A4B77"/>
    <w:rsid w:val="638E5AC1"/>
    <w:rsid w:val="63DF4BFF"/>
    <w:rsid w:val="641A2FBE"/>
    <w:rsid w:val="650145D2"/>
    <w:rsid w:val="65174EDF"/>
    <w:rsid w:val="69331FEA"/>
    <w:rsid w:val="695275F6"/>
    <w:rsid w:val="69DA0365"/>
    <w:rsid w:val="6C356D2B"/>
    <w:rsid w:val="71AC4468"/>
    <w:rsid w:val="71BE5FC7"/>
    <w:rsid w:val="739F5127"/>
    <w:rsid w:val="74F06DA8"/>
    <w:rsid w:val="750A1C43"/>
    <w:rsid w:val="75242126"/>
    <w:rsid w:val="75D72506"/>
    <w:rsid w:val="789734F8"/>
    <w:rsid w:val="79BF0FEC"/>
    <w:rsid w:val="7A045DF6"/>
    <w:rsid w:val="7D44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484848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484848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on"/>
    <w:basedOn w:val="6"/>
    <w:qFormat/>
    <w:uiPriority w:val="0"/>
    <w:rPr>
      <w:color w:val="FFFFFF"/>
      <w:shd w:val="clear" w:fill="003B68"/>
    </w:rPr>
  </w:style>
  <w:style w:type="character" w:customStyle="1" w:styleId="17">
    <w:name w:val="hj-easyread-speakerprocesser-position-action-icon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2017-10-30T07:56:00Z</dcterms:created>
  <dc:creator>Administrator</dc:creator>
  <cp:lastModifiedBy>Administrator</cp:lastModifiedBy>
  <cp:lastPrinted>2018-02-02T08:40:49Z</cp:lastPrinted>
  <dcterms:modified xsi:type="dcterms:W3CDTF">2018-02-02T08:44:46Z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